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895F2" w14:textId="77777777" w:rsidR="00DC73CF" w:rsidRPr="00AF50B4" w:rsidRDefault="00DC73CF" w:rsidP="00AF50B4">
      <w:pPr>
        <w:shd w:val="clear" w:color="auto" w:fill="FEFEFE"/>
        <w:spacing w:before="100" w:beforeAutospacing="1" w:after="100" w:afterAutospacing="1" w:line="240" w:lineRule="auto"/>
        <w:jc w:val="center"/>
        <w:outlineLvl w:val="0"/>
        <w:rPr>
          <w:rFonts w:ascii="Arial" w:eastAsia="Times New Roman" w:hAnsi="Arial" w:cs="Arial"/>
          <w:b/>
          <w:bCs/>
          <w:color w:val="212121"/>
          <w:spacing w:val="-15"/>
          <w:kern w:val="36"/>
          <w:sz w:val="36"/>
          <w:szCs w:val="36"/>
        </w:rPr>
      </w:pPr>
      <w:r w:rsidRPr="00AF50B4">
        <w:rPr>
          <w:rFonts w:ascii="Arial" w:eastAsia="Times New Roman" w:hAnsi="Arial" w:cs="Arial"/>
          <w:b/>
          <w:bCs/>
          <w:color w:val="212121"/>
          <w:spacing w:val="-15"/>
          <w:kern w:val="36"/>
          <w:sz w:val="36"/>
          <w:szCs w:val="36"/>
        </w:rPr>
        <w:t>Complaints addressed directly to the national supervisory authority for personal data processing</w:t>
      </w:r>
    </w:p>
    <w:p w14:paraId="078D45CD"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National Supervisory Authority for Personal Data Processing (A.N.S.P.D.C.P.) is the public authority, autonomous and independent, with legal personality, who monitors and controls, from the point of view of legality, the processing of personal data which fall under the incidence of the Regulation no. 679/2016.</w:t>
      </w:r>
    </w:p>
    <w:tbl>
      <w:tblPr>
        <w:tblW w:w="5000" w:type="pct"/>
        <w:shd w:val="clear" w:color="auto" w:fill="FEFEFE"/>
        <w:tblCellMar>
          <w:left w:w="0" w:type="dxa"/>
          <w:right w:w="0" w:type="dxa"/>
        </w:tblCellMar>
        <w:tblLook w:val="04A0" w:firstRow="1" w:lastRow="0" w:firstColumn="1" w:lastColumn="0" w:noHBand="0" w:noVBand="1"/>
      </w:tblPr>
      <w:tblGrid>
        <w:gridCol w:w="2364"/>
        <w:gridCol w:w="1702"/>
        <w:gridCol w:w="5294"/>
      </w:tblGrid>
      <w:tr w:rsidR="00DC73CF" w:rsidRPr="00AF50B4" w14:paraId="5E9345F3" w14:textId="77777777" w:rsidTr="004F4D7A">
        <w:tc>
          <w:tcPr>
            <w:tcW w:w="1263" w:type="pct"/>
            <w:vMerge w:val="restart"/>
            <w:tcBorders>
              <w:top w:val="nil"/>
              <w:left w:val="nil"/>
              <w:bottom w:val="nil"/>
              <w:right w:val="nil"/>
            </w:tcBorders>
            <w:shd w:val="clear" w:color="auto" w:fill="FEFEFE"/>
            <w:hideMark/>
          </w:tcPr>
          <w:p w14:paraId="51BB77A1" w14:textId="77777777" w:rsidR="00DC73CF" w:rsidRPr="00AF50B4" w:rsidRDefault="00DC73CF" w:rsidP="00AF50B4">
            <w:pPr>
              <w:spacing w:beforeAutospacing="1" w:after="0" w:afterAutospacing="1" w:line="240" w:lineRule="auto"/>
              <w:rPr>
                <w:rFonts w:ascii="Arial" w:eastAsia="Times New Roman" w:hAnsi="Arial" w:cs="Arial"/>
                <w:color w:val="212121"/>
                <w:sz w:val="24"/>
                <w:szCs w:val="24"/>
              </w:rPr>
            </w:pPr>
            <w:r w:rsidRPr="00AF50B4">
              <w:rPr>
                <w:rFonts w:ascii="Arial" w:eastAsia="Times New Roman" w:hAnsi="Arial" w:cs="Arial"/>
                <w:b/>
                <w:bCs/>
                <w:color w:val="212121"/>
                <w:sz w:val="24"/>
                <w:szCs w:val="24"/>
              </w:rPr>
              <w:t>Contact:</w:t>
            </w:r>
          </w:p>
        </w:tc>
        <w:tc>
          <w:tcPr>
            <w:tcW w:w="909" w:type="pct"/>
            <w:tcBorders>
              <w:top w:val="nil"/>
              <w:left w:val="nil"/>
              <w:bottom w:val="nil"/>
              <w:right w:val="nil"/>
            </w:tcBorders>
            <w:shd w:val="clear" w:color="auto" w:fill="FEFEFE"/>
            <w:hideMark/>
          </w:tcPr>
          <w:p w14:paraId="1FE93122" w14:textId="77777777" w:rsidR="00DC73CF" w:rsidRPr="00AF50B4" w:rsidRDefault="00DC73CF" w:rsidP="00AF50B4">
            <w:pPr>
              <w:spacing w:before="100" w:beforeAutospacing="1" w:after="100" w:afterAutospacing="1" w:line="240" w:lineRule="auto"/>
              <w:rPr>
                <w:rFonts w:ascii="Arial" w:eastAsia="Times New Roman" w:hAnsi="Arial" w:cs="Arial"/>
                <w:color w:val="212121"/>
                <w:sz w:val="24"/>
                <w:szCs w:val="24"/>
              </w:rPr>
            </w:pPr>
            <w:r w:rsidRPr="00AF50B4">
              <w:rPr>
                <w:rFonts w:ascii="Arial" w:eastAsia="Times New Roman" w:hAnsi="Arial" w:cs="Arial"/>
                <w:color w:val="212121"/>
                <w:sz w:val="24"/>
                <w:szCs w:val="24"/>
              </w:rPr>
              <w:t>Address:</w:t>
            </w:r>
          </w:p>
        </w:tc>
        <w:tc>
          <w:tcPr>
            <w:tcW w:w="2828" w:type="pct"/>
            <w:tcBorders>
              <w:top w:val="nil"/>
              <w:left w:val="nil"/>
              <w:bottom w:val="nil"/>
              <w:right w:val="nil"/>
            </w:tcBorders>
            <w:shd w:val="clear" w:color="auto" w:fill="FEFEFE"/>
            <w:hideMark/>
          </w:tcPr>
          <w:p w14:paraId="500EB06E" w14:textId="77777777" w:rsidR="00DC73CF" w:rsidRPr="00AF50B4" w:rsidRDefault="00DC73CF" w:rsidP="00AF50B4">
            <w:pPr>
              <w:spacing w:beforeAutospacing="1" w:after="0" w:afterAutospacing="1" w:line="240" w:lineRule="auto"/>
              <w:rPr>
                <w:rFonts w:ascii="Arial" w:eastAsia="Times New Roman" w:hAnsi="Arial" w:cs="Arial"/>
                <w:color w:val="212121"/>
                <w:sz w:val="24"/>
                <w:szCs w:val="24"/>
              </w:rPr>
            </w:pPr>
            <w:r w:rsidRPr="00AF50B4">
              <w:rPr>
                <w:rFonts w:ascii="Arial" w:eastAsia="Times New Roman" w:hAnsi="Arial" w:cs="Arial"/>
                <w:color w:val="212121"/>
                <w:sz w:val="24"/>
                <w:szCs w:val="24"/>
              </w:rPr>
              <w:t>28-30 G-</w:t>
            </w:r>
            <w:proofErr w:type="spellStart"/>
            <w:r w:rsidRPr="00AF50B4">
              <w:rPr>
                <w:rFonts w:ascii="Arial" w:eastAsia="Times New Roman" w:hAnsi="Arial" w:cs="Arial"/>
                <w:color w:val="212121"/>
                <w:sz w:val="24"/>
                <w:szCs w:val="24"/>
              </w:rPr>
              <w:t>ral</w:t>
            </w:r>
            <w:proofErr w:type="spellEnd"/>
            <w:r w:rsidRPr="00AF50B4">
              <w:rPr>
                <w:rFonts w:ascii="Arial" w:eastAsia="Times New Roman" w:hAnsi="Arial" w:cs="Arial"/>
                <w:color w:val="212121"/>
                <w:sz w:val="24"/>
                <w:szCs w:val="24"/>
              </w:rPr>
              <w:t xml:space="preserve">. Gheorghe </w:t>
            </w:r>
            <w:proofErr w:type="spellStart"/>
            <w:r w:rsidRPr="00AF50B4">
              <w:rPr>
                <w:rFonts w:ascii="Arial" w:eastAsia="Times New Roman" w:hAnsi="Arial" w:cs="Arial"/>
                <w:color w:val="212121"/>
                <w:sz w:val="24"/>
                <w:szCs w:val="24"/>
              </w:rPr>
              <w:t>Magheru</w:t>
            </w:r>
            <w:proofErr w:type="spellEnd"/>
            <w:r w:rsidRPr="00AF50B4">
              <w:rPr>
                <w:rFonts w:ascii="Arial" w:eastAsia="Times New Roman" w:hAnsi="Arial" w:cs="Arial"/>
                <w:color w:val="212121"/>
                <w:sz w:val="24"/>
                <w:szCs w:val="24"/>
              </w:rPr>
              <w:t xml:space="preserve"> Boulevard, 1</w:t>
            </w:r>
            <w:r w:rsidRPr="00AF50B4">
              <w:rPr>
                <w:rFonts w:ascii="Arial" w:eastAsia="Times New Roman" w:hAnsi="Arial" w:cs="Arial"/>
                <w:color w:val="212121"/>
                <w:sz w:val="24"/>
                <w:szCs w:val="24"/>
                <w:vertAlign w:val="superscript"/>
              </w:rPr>
              <w:t>st</w:t>
            </w:r>
            <w:r w:rsidRPr="00AF50B4">
              <w:rPr>
                <w:rFonts w:ascii="Arial" w:eastAsia="Times New Roman" w:hAnsi="Arial" w:cs="Arial"/>
                <w:color w:val="212121"/>
                <w:sz w:val="24"/>
                <w:szCs w:val="24"/>
              </w:rPr>
              <w:t> district, Bucharest</w:t>
            </w:r>
          </w:p>
        </w:tc>
      </w:tr>
      <w:tr w:rsidR="00DC73CF" w:rsidRPr="00AF50B4" w14:paraId="7D0774CC" w14:textId="77777777" w:rsidTr="004F4D7A">
        <w:tc>
          <w:tcPr>
            <w:tcW w:w="0" w:type="auto"/>
            <w:vMerge/>
            <w:tcBorders>
              <w:top w:val="nil"/>
              <w:left w:val="nil"/>
              <w:bottom w:val="nil"/>
              <w:right w:val="nil"/>
            </w:tcBorders>
            <w:shd w:val="clear" w:color="auto" w:fill="F1F1F1"/>
            <w:vAlign w:val="center"/>
            <w:hideMark/>
          </w:tcPr>
          <w:p w14:paraId="52EF5AE3" w14:textId="77777777" w:rsidR="00DC73CF" w:rsidRPr="00AF50B4" w:rsidRDefault="00DC73CF" w:rsidP="00AF50B4">
            <w:pPr>
              <w:spacing w:after="0" w:line="240" w:lineRule="auto"/>
              <w:rPr>
                <w:rFonts w:ascii="Arial" w:eastAsia="Times New Roman" w:hAnsi="Arial" w:cs="Arial"/>
                <w:color w:val="212121"/>
                <w:sz w:val="24"/>
                <w:szCs w:val="24"/>
              </w:rPr>
            </w:pPr>
          </w:p>
        </w:tc>
        <w:tc>
          <w:tcPr>
            <w:tcW w:w="909" w:type="pct"/>
            <w:tcBorders>
              <w:top w:val="nil"/>
              <w:left w:val="nil"/>
              <w:bottom w:val="nil"/>
              <w:right w:val="nil"/>
            </w:tcBorders>
            <w:shd w:val="clear" w:color="auto" w:fill="F1F1F1"/>
            <w:hideMark/>
          </w:tcPr>
          <w:p w14:paraId="437E879D" w14:textId="77777777" w:rsidR="00DC73CF" w:rsidRPr="00AF50B4" w:rsidRDefault="00DC73CF" w:rsidP="00AF50B4">
            <w:pPr>
              <w:spacing w:before="100" w:beforeAutospacing="1" w:after="100" w:afterAutospacing="1" w:line="240" w:lineRule="auto"/>
              <w:rPr>
                <w:rFonts w:ascii="Arial" w:eastAsia="Times New Roman" w:hAnsi="Arial" w:cs="Arial"/>
                <w:color w:val="212121"/>
                <w:sz w:val="24"/>
                <w:szCs w:val="24"/>
              </w:rPr>
            </w:pPr>
            <w:r w:rsidRPr="00AF50B4">
              <w:rPr>
                <w:rFonts w:ascii="Arial" w:eastAsia="Times New Roman" w:hAnsi="Arial" w:cs="Arial"/>
                <w:color w:val="212121"/>
                <w:sz w:val="24"/>
                <w:szCs w:val="24"/>
              </w:rPr>
              <w:t>Telephone:</w:t>
            </w:r>
          </w:p>
        </w:tc>
        <w:tc>
          <w:tcPr>
            <w:tcW w:w="2828" w:type="pct"/>
            <w:tcBorders>
              <w:top w:val="nil"/>
              <w:left w:val="nil"/>
              <w:bottom w:val="nil"/>
              <w:right w:val="nil"/>
            </w:tcBorders>
            <w:shd w:val="clear" w:color="auto" w:fill="F1F1F1"/>
            <w:hideMark/>
          </w:tcPr>
          <w:p w14:paraId="68256102" w14:textId="77777777" w:rsidR="00DC73CF" w:rsidRPr="00AF50B4" w:rsidRDefault="00DC73CF" w:rsidP="00AF50B4">
            <w:pPr>
              <w:spacing w:before="100" w:beforeAutospacing="1" w:after="100" w:afterAutospacing="1" w:line="240" w:lineRule="auto"/>
              <w:rPr>
                <w:rFonts w:ascii="Arial" w:eastAsia="Times New Roman" w:hAnsi="Arial" w:cs="Arial"/>
                <w:color w:val="212121"/>
                <w:sz w:val="24"/>
                <w:szCs w:val="24"/>
              </w:rPr>
            </w:pPr>
            <w:r w:rsidRPr="00AF50B4">
              <w:rPr>
                <w:rFonts w:ascii="Arial" w:eastAsia="Times New Roman" w:hAnsi="Arial" w:cs="Arial"/>
                <w:color w:val="212121"/>
                <w:sz w:val="24"/>
                <w:szCs w:val="24"/>
              </w:rPr>
              <w:t>+4.031.805.9211</w:t>
            </w:r>
          </w:p>
        </w:tc>
      </w:tr>
      <w:tr w:rsidR="00DC73CF" w:rsidRPr="00AF50B4" w14:paraId="738D6DF1" w14:textId="77777777" w:rsidTr="004F4D7A">
        <w:tc>
          <w:tcPr>
            <w:tcW w:w="0" w:type="auto"/>
            <w:vMerge/>
            <w:tcBorders>
              <w:top w:val="nil"/>
              <w:left w:val="nil"/>
              <w:bottom w:val="nil"/>
              <w:right w:val="nil"/>
            </w:tcBorders>
            <w:shd w:val="clear" w:color="auto" w:fill="FEFEFE"/>
            <w:vAlign w:val="center"/>
            <w:hideMark/>
          </w:tcPr>
          <w:p w14:paraId="2218A59B" w14:textId="77777777" w:rsidR="00DC73CF" w:rsidRPr="00AF50B4" w:rsidRDefault="00DC73CF" w:rsidP="00AF50B4">
            <w:pPr>
              <w:spacing w:after="0" w:line="240" w:lineRule="auto"/>
              <w:rPr>
                <w:rFonts w:ascii="Arial" w:eastAsia="Times New Roman" w:hAnsi="Arial" w:cs="Arial"/>
                <w:color w:val="212121"/>
                <w:sz w:val="24"/>
                <w:szCs w:val="24"/>
              </w:rPr>
            </w:pPr>
          </w:p>
        </w:tc>
        <w:tc>
          <w:tcPr>
            <w:tcW w:w="909" w:type="pct"/>
            <w:tcBorders>
              <w:top w:val="nil"/>
              <w:left w:val="nil"/>
              <w:bottom w:val="nil"/>
              <w:right w:val="nil"/>
            </w:tcBorders>
            <w:shd w:val="clear" w:color="auto" w:fill="FEFEFE"/>
            <w:hideMark/>
          </w:tcPr>
          <w:p w14:paraId="2695E993" w14:textId="77777777" w:rsidR="00DC73CF" w:rsidRPr="00AF50B4" w:rsidRDefault="00DC73CF" w:rsidP="00AF50B4">
            <w:pPr>
              <w:spacing w:before="100" w:beforeAutospacing="1" w:after="100" w:afterAutospacing="1" w:line="240" w:lineRule="auto"/>
              <w:rPr>
                <w:rFonts w:ascii="Arial" w:eastAsia="Times New Roman" w:hAnsi="Arial" w:cs="Arial"/>
                <w:color w:val="212121"/>
                <w:sz w:val="24"/>
                <w:szCs w:val="24"/>
              </w:rPr>
            </w:pPr>
            <w:r w:rsidRPr="00AF50B4">
              <w:rPr>
                <w:rFonts w:ascii="Arial" w:eastAsia="Times New Roman" w:hAnsi="Arial" w:cs="Arial"/>
                <w:color w:val="212121"/>
                <w:sz w:val="24"/>
                <w:szCs w:val="24"/>
              </w:rPr>
              <w:t>Fax:</w:t>
            </w:r>
          </w:p>
        </w:tc>
        <w:tc>
          <w:tcPr>
            <w:tcW w:w="2828" w:type="pct"/>
            <w:tcBorders>
              <w:top w:val="nil"/>
              <w:left w:val="nil"/>
              <w:bottom w:val="nil"/>
              <w:right w:val="nil"/>
            </w:tcBorders>
            <w:shd w:val="clear" w:color="auto" w:fill="FEFEFE"/>
            <w:hideMark/>
          </w:tcPr>
          <w:p w14:paraId="602E8411" w14:textId="77777777" w:rsidR="00DC73CF" w:rsidRPr="00AF50B4" w:rsidRDefault="00DC73CF" w:rsidP="00AF50B4">
            <w:pPr>
              <w:spacing w:before="100" w:beforeAutospacing="1" w:after="100" w:afterAutospacing="1" w:line="240" w:lineRule="auto"/>
              <w:rPr>
                <w:rFonts w:ascii="Arial" w:eastAsia="Times New Roman" w:hAnsi="Arial" w:cs="Arial"/>
                <w:color w:val="212121"/>
                <w:sz w:val="24"/>
                <w:szCs w:val="24"/>
              </w:rPr>
            </w:pPr>
            <w:r w:rsidRPr="00AF50B4">
              <w:rPr>
                <w:rFonts w:ascii="Arial" w:eastAsia="Times New Roman" w:hAnsi="Arial" w:cs="Arial"/>
                <w:color w:val="212121"/>
                <w:sz w:val="24"/>
                <w:szCs w:val="24"/>
              </w:rPr>
              <w:t>+40.31.805.9602</w:t>
            </w:r>
          </w:p>
        </w:tc>
      </w:tr>
      <w:tr w:rsidR="00DC73CF" w:rsidRPr="00AF50B4" w14:paraId="5B92301D" w14:textId="77777777" w:rsidTr="004F4D7A">
        <w:tc>
          <w:tcPr>
            <w:tcW w:w="0" w:type="auto"/>
            <w:vMerge/>
            <w:tcBorders>
              <w:top w:val="nil"/>
              <w:left w:val="nil"/>
              <w:bottom w:val="nil"/>
              <w:right w:val="nil"/>
            </w:tcBorders>
            <w:shd w:val="clear" w:color="auto" w:fill="F1F1F1"/>
            <w:vAlign w:val="center"/>
            <w:hideMark/>
          </w:tcPr>
          <w:p w14:paraId="13BFBABA" w14:textId="77777777" w:rsidR="00DC73CF" w:rsidRPr="00AF50B4" w:rsidRDefault="00DC73CF" w:rsidP="00AF50B4">
            <w:pPr>
              <w:spacing w:after="0" w:line="240" w:lineRule="auto"/>
              <w:rPr>
                <w:rFonts w:ascii="Arial" w:eastAsia="Times New Roman" w:hAnsi="Arial" w:cs="Arial"/>
                <w:color w:val="212121"/>
                <w:sz w:val="24"/>
                <w:szCs w:val="24"/>
              </w:rPr>
            </w:pPr>
          </w:p>
        </w:tc>
        <w:tc>
          <w:tcPr>
            <w:tcW w:w="909" w:type="pct"/>
            <w:tcBorders>
              <w:top w:val="nil"/>
              <w:left w:val="nil"/>
              <w:bottom w:val="nil"/>
              <w:right w:val="nil"/>
            </w:tcBorders>
            <w:shd w:val="clear" w:color="auto" w:fill="F1F1F1"/>
            <w:hideMark/>
          </w:tcPr>
          <w:p w14:paraId="3D6B34EE" w14:textId="77777777" w:rsidR="00DC73CF" w:rsidRPr="00AF50B4" w:rsidRDefault="00DC73CF" w:rsidP="00AF50B4">
            <w:pPr>
              <w:spacing w:before="100" w:beforeAutospacing="1" w:after="100" w:afterAutospacing="1" w:line="240" w:lineRule="auto"/>
              <w:rPr>
                <w:rFonts w:ascii="Arial" w:eastAsia="Times New Roman" w:hAnsi="Arial" w:cs="Arial"/>
                <w:color w:val="212121"/>
                <w:sz w:val="24"/>
                <w:szCs w:val="24"/>
              </w:rPr>
            </w:pPr>
            <w:r w:rsidRPr="00AF50B4">
              <w:rPr>
                <w:rFonts w:ascii="Arial" w:eastAsia="Times New Roman" w:hAnsi="Arial" w:cs="Arial"/>
                <w:color w:val="212121"/>
                <w:sz w:val="24"/>
                <w:szCs w:val="24"/>
              </w:rPr>
              <w:t>E-mail:</w:t>
            </w:r>
          </w:p>
        </w:tc>
        <w:tc>
          <w:tcPr>
            <w:tcW w:w="2828" w:type="pct"/>
            <w:tcBorders>
              <w:top w:val="nil"/>
              <w:left w:val="nil"/>
              <w:bottom w:val="nil"/>
              <w:right w:val="nil"/>
            </w:tcBorders>
            <w:shd w:val="clear" w:color="auto" w:fill="F1F1F1"/>
            <w:hideMark/>
          </w:tcPr>
          <w:p w14:paraId="54DA739D" w14:textId="77777777" w:rsidR="00DC73CF" w:rsidRPr="00AF50B4" w:rsidRDefault="00DC73CF" w:rsidP="00AF50B4">
            <w:pPr>
              <w:spacing w:before="100" w:beforeAutospacing="1" w:after="100" w:afterAutospacing="1" w:line="240" w:lineRule="auto"/>
              <w:rPr>
                <w:rFonts w:ascii="Arial" w:eastAsia="Times New Roman" w:hAnsi="Arial" w:cs="Arial"/>
                <w:color w:val="212121"/>
                <w:sz w:val="24"/>
                <w:szCs w:val="24"/>
              </w:rPr>
            </w:pPr>
            <w:proofErr w:type="spellStart"/>
            <w:r w:rsidRPr="00AF50B4">
              <w:rPr>
                <w:rFonts w:ascii="Arial" w:eastAsia="Times New Roman" w:hAnsi="Arial" w:cs="Arial"/>
                <w:color w:val="212121"/>
                <w:sz w:val="24"/>
                <w:szCs w:val="24"/>
              </w:rPr>
              <w:t>anspdcp</w:t>
            </w:r>
            <w:proofErr w:type="spellEnd"/>
            <w:r w:rsidRPr="00AF50B4">
              <w:rPr>
                <w:rFonts w:ascii="Arial" w:eastAsia="Times New Roman" w:hAnsi="Arial" w:cs="Arial"/>
                <w:color w:val="212121"/>
                <w:sz w:val="24"/>
                <w:szCs w:val="24"/>
              </w:rPr>
              <w:t>[at]dataprotection.ro</w:t>
            </w:r>
          </w:p>
        </w:tc>
      </w:tr>
      <w:tr w:rsidR="00DC73CF" w:rsidRPr="00AF50B4" w14:paraId="75CE8729" w14:textId="77777777" w:rsidTr="004F4D7A">
        <w:tc>
          <w:tcPr>
            <w:tcW w:w="0" w:type="auto"/>
            <w:vMerge/>
            <w:tcBorders>
              <w:top w:val="nil"/>
              <w:left w:val="nil"/>
              <w:bottom w:val="nil"/>
              <w:right w:val="nil"/>
            </w:tcBorders>
            <w:shd w:val="clear" w:color="auto" w:fill="FEFEFE"/>
            <w:vAlign w:val="center"/>
            <w:hideMark/>
          </w:tcPr>
          <w:p w14:paraId="124CBFD3" w14:textId="77777777" w:rsidR="00DC73CF" w:rsidRPr="00AF50B4" w:rsidRDefault="00DC73CF" w:rsidP="00AF50B4">
            <w:pPr>
              <w:spacing w:after="0" w:line="240" w:lineRule="auto"/>
              <w:rPr>
                <w:rFonts w:ascii="Arial" w:eastAsia="Times New Roman" w:hAnsi="Arial" w:cs="Arial"/>
                <w:color w:val="212121"/>
                <w:sz w:val="24"/>
                <w:szCs w:val="24"/>
              </w:rPr>
            </w:pPr>
          </w:p>
        </w:tc>
        <w:tc>
          <w:tcPr>
            <w:tcW w:w="909" w:type="pct"/>
            <w:tcBorders>
              <w:top w:val="nil"/>
              <w:left w:val="nil"/>
              <w:bottom w:val="nil"/>
              <w:right w:val="nil"/>
            </w:tcBorders>
            <w:shd w:val="clear" w:color="auto" w:fill="FEFEFE"/>
            <w:hideMark/>
          </w:tcPr>
          <w:p w14:paraId="2567BBB9" w14:textId="77777777" w:rsidR="00DC73CF" w:rsidRPr="00AF50B4" w:rsidRDefault="00DC73CF" w:rsidP="00AF50B4">
            <w:pPr>
              <w:spacing w:before="100" w:beforeAutospacing="1" w:after="100" w:afterAutospacing="1" w:line="240" w:lineRule="auto"/>
              <w:rPr>
                <w:rFonts w:ascii="Arial" w:eastAsia="Times New Roman" w:hAnsi="Arial" w:cs="Arial"/>
                <w:color w:val="212121"/>
                <w:sz w:val="24"/>
                <w:szCs w:val="24"/>
              </w:rPr>
            </w:pPr>
            <w:r w:rsidRPr="00AF50B4">
              <w:rPr>
                <w:rFonts w:ascii="Arial" w:eastAsia="Times New Roman" w:hAnsi="Arial" w:cs="Arial"/>
                <w:color w:val="212121"/>
                <w:sz w:val="24"/>
                <w:szCs w:val="24"/>
              </w:rPr>
              <w:t>Website:</w:t>
            </w:r>
          </w:p>
        </w:tc>
        <w:tc>
          <w:tcPr>
            <w:tcW w:w="2828" w:type="pct"/>
            <w:tcBorders>
              <w:top w:val="nil"/>
              <w:left w:val="nil"/>
              <w:bottom w:val="nil"/>
              <w:right w:val="nil"/>
            </w:tcBorders>
            <w:shd w:val="clear" w:color="auto" w:fill="FEFEFE"/>
            <w:hideMark/>
          </w:tcPr>
          <w:p w14:paraId="17997948" w14:textId="77777777" w:rsidR="00DC73CF" w:rsidRPr="00AF50B4" w:rsidRDefault="00AF50B4" w:rsidP="00AF50B4">
            <w:pPr>
              <w:spacing w:beforeAutospacing="1" w:after="0" w:afterAutospacing="1" w:line="240" w:lineRule="auto"/>
              <w:rPr>
                <w:rFonts w:ascii="Arial" w:eastAsia="Times New Roman" w:hAnsi="Arial" w:cs="Arial"/>
                <w:color w:val="212121"/>
                <w:sz w:val="24"/>
                <w:szCs w:val="24"/>
              </w:rPr>
            </w:pPr>
            <w:hyperlink r:id="rId5" w:history="1">
              <w:r w:rsidR="00DC73CF" w:rsidRPr="00AF50B4">
                <w:rPr>
                  <w:rFonts w:ascii="Arial" w:eastAsia="Times New Roman" w:hAnsi="Arial" w:cs="Arial"/>
                  <w:color w:val="008C45"/>
                  <w:sz w:val="24"/>
                  <w:szCs w:val="24"/>
                  <w:u w:val="single"/>
                </w:rPr>
                <w:t>www.dataprotection.ro</w:t>
              </w:r>
            </w:hyperlink>
          </w:p>
        </w:tc>
      </w:tr>
    </w:tbl>
    <w:p w14:paraId="539ECE81" w14:textId="77777777" w:rsidR="004F4D7A" w:rsidRPr="00AF50B4" w:rsidRDefault="004F4D7A" w:rsidP="00AF50B4">
      <w:pPr>
        <w:spacing w:after="0" w:line="240" w:lineRule="auto"/>
        <w:jc w:val="both"/>
        <w:rPr>
          <w:rFonts w:ascii="Arial" w:eastAsia="Times New Roman" w:hAnsi="Arial" w:cs="Arial"/>
          <w:b/>
          <w:bCs/>
          <w:color w:val="4F4F4F"/>
          <w:sz w:val="24"/>
          <w:szCs w:val="24"/>
        </w:rPr>
      </w:pPr>
    </w:p>
    <w:p w14:paraId="380E7FC9" w14:textId="1F4921B5" w:rsidR="004F4D7A" w:rsidRPr="00AF50B4" w:rsidRDefault="004F4D7A" w:rsidP="00AF50B4">
      <w:pPr>
        <w:spacing w:after="0" w:line="240" w:lineRule="auto"/>
        <w:jc w:val="both"/>
        <w:rPr>
          <w:rFonts w:ascii="Arial" w:eastAsia="Times New Roman" w:hAnsi="Arial" w:cs="Arial"/>
          <w:color w:val="4F4F4F"/>
          <w:sz w:val="24"/>
          <w:szCs w:val="24"/>
        </w:rPr>
      </w:pPr>
      <w:r w:rsidRPr="00AF50B4">
        <w:rPr>
          <w:rFonts w:ascii="Arial" w:eastAsia="Times New Roman" w:hAnsi="Arial" w:cs="Arial"/>
          <w:b/>
          <w:bCs/>
          <w:color w:val="4F4F4F"/>
          <w:sz w:val="24"/>
          <w:szCs w:val="24"/>
        </w:rPr>
        <w:t>To file a complaint to A.N.S.P.D.C.P.</w:t>
      </w:r>
      <w:r w:rsidRPr="00AF50B4">
        <w:rPr>
          <w:rFonts w:ascii="Arial" w:eastAsia="Times New Roman" w:hAnsi="Arial" w:cs="Arial"/>
          <w:color w:val="4F4F4F"/>
          <w:sz w:val="24"/>
          <w:szCs w:val="24"/>
        </w:rPr>
        <w:t> </w:t>
      </w:r>
      <w:hyperlink r:id="rId6" w:history="1">
        <w:r w:rsidRPr="00AF50B4">
          <w:rPr>
            <w:rFonts w:ascii="Arial" w:eastAsia="Times New Roman" w:hAnsi="Arial" w:cs="Arial"/>
            <w:b/>
            <w:bCs/>
            <w:color w:val="4D78D4"/>
            <w:sz w:val="24"/>
            <w:szCs w:val="24"/>
            <w:u w:val="single"/>
          </w:rPr>
          <w:t>click </w:t>
        </w:r>
      </w:hyperlink>
      <w:r w:rsidRPr="00AF50B4">
        <w:rPr>
          <w:rFonts w:ascii="Arial" w:eastAsia="Times New Roman" w:hAnsi="Arial" w:cs="Arial"/>
          <w:color w:val="4F4F4F"/>
          <w:sz w:val="24"/>
          <w:szCs w:val="24"/>
          <w:u w:val="single"/>
        </w:rPr>
        <w:t>here</w:t>
      </w:r>
    </w:p>
    <w:p w14:paraId="0F241F17" w14:textId="56985CBE" w:rsidR="00DC73CF" w:rsidRPr="00AF50B4" w:rsidRDefault="00DC73CF" w:rsidP="00AF50B4">
      <w:pPr>
        <w:shd w:val="clear" w:color="auto" w:fill="FEFEFE"/>
        <w:spacing w:beforeAutospacing="1" w:after="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Regulation (EU) 2016/679 of the European Parliament and of the Council of 27 April 2016 </w:t>
      </w:r>
      <w:r w:rsidRPr="00AF50B4">
        <w:rPr>
          <w:rFonts w:ascii="Arial" w:eastAsia="Times New Roman" w:hAnsi="Arial" w:cs="Arial"/>
          <w:i/>
          <w:iCs/>
          <w:color w:val="212121"/>
          <w:sz w:val="24"/>
          <w:szCs w:val="24"/>
        </w:rPr>
        <w:t>on the protection of natural persons with regard to the processing of personal data and on the free movement of such data, and repealing Directive 95/46/EC (General Data Protection Regulation):</w:t>
      </w:r>
    </w:p>
    <w:p w14:paraId="77C97E1C" w14:textId="77777777" w:rsidR="00DC73CF" w:rsidRPr="00AF50B4" w:rsidRDefault="00DC73CF" w:rsidP="00AF50B4">
      <w:pPr>
        <w:shd w:val="clear" w:color="auto" w:fill="FEFEFE"/>
        <w:spacing w:beforeAutospacing="1" w:after="0" w:afterAutospacing="1" w:line="240" w:lineRule="auto"/>
        <w:jc w:val="both"/>
        <w:rPr>
          <w:rFonts w:ascii="Arial" w:eastAsia="Times New Roman" w:hAnsi="Arial" w:cs="Arial"/>
          <w:color w:val="212121"/>
          <w:sz w:val="24"/>
          <w:szCs w:val="24"/>
        </w:rPr>
      </w:pPr>
      <w:r w:rsidRPr="00AF50B4">
        <w:rPr>
          <w:rFonts w:ascii="Arial" w:eastAsia="Times New Roman" w:hAnsi="Arial" w:cs="Arial"/>
          <w:i/>
          <w:iCs/>
          <w:color w:val="212121"/>
          <w:sz w:val="24"/>
          <w:szCs w:val="24"/>
        </w:rPr>
        <w:t>Article 77</w:t>
      </w:r>
    </w:p>
    <w:p w14:paraId="07F7E053" w14:textId="77777777" w:rsidR="00DC73CF" w:rsidRPr="00AF50B4" w:rsidRDefault="00DC73CF" w:rsidP="00AF50B4">
      <w:pPr>
        <w:shd w:val="clear" w:color="auto" w:fill="FEFEFE"/>
        <w:spacing w:beforeAutospacing="1" w:after="0" w:afterAutospacing="1" w:line="240" w:lineRule="auto"/>
        <w:jc w:val="both"/>
        <w:rPr>
          <w:rFonts w:ascii="Arial" w:eastAsia="Times New Roman" w:hAnsi="Arial" w:cs="Arial"/>
          <w:color w:val="212121"/>
          <w:sz w:val="24"/>
          <w:szCs w:val="24"/>
        </w:rPr>
      </w:pPr>
      <w:r w:rsidRPr="00AF50B4">
        <w:rPr>
          <w:rFonts w:ascii="Arial" w:eastAsia="Times New Roman" w:hAnsi="Arial" w:cs="Arial"/>
          <w:b/>
          <w:bCs/>
          <w:color w:val="212121"/>
          <w:sz w:val="24"/>
          <w:szCs w:val="24"/>
        </w:rPr>
        <w:t>Right to lodge a complaint with a supervisory authority</w:t>
      </w:r>
    </w:p>
    <w:p w14:paraId="4B659636"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(1) Without prejudice to any other administrative or judicial remedy, every data subject shall have the right to lodge a complaint with a supervisory authority, in particular in the Member State of his or her habitual residence, place of work or place of the alleged infringement if the data subject considers that the processing of personal data relating to him or her infringes this Regulation.</w:t>
      </w:r>
    </w:p>
    <w:p w14:paraId="13406917"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(2) The supervisory authority with which the complaint has been lodged shall inform the complainant on the progress and the outcome of the complaint including the possibility of a judicial remedy pursuant to Article 78.</w:t>
      </w:r>
    </w:p>
    <w:p w14:paraId="290C582C" w14:textId="77777777" w:rsidR="00DC73CF" w:rsidRPr="00AF50B4" w:rsidRDefault="00DC73CF" w:rsidP="00AF50B4">
      <w:pPr>
        <w:shd w:val="clear" w:color="auto" w:fill="FEFEFE"/>
        <w:spacing w:beforeAutospacing="1" w:after="0" w:afterAutospacing="1" w:line="240" w:lineRule="auto"/>
        <w:jc w:val="both"/>
        <w:rPr>
          <w:rFonts w:ascii="Arial" w:eastAsia="Times New Roman" w:hAnsi="Arial" w:cs="Arial"/>
          <w:color w:val="212121"/>
          <w:sz w:val="24"/>
          <w:szCs w:val="24"/>
        </w:rPr>
      </w:pPr>
      <w:r w:rsidRPr="00AF50B4">
        <w:rPr>
          <w:rFonts w:ascii="Arial" w:eastAsia="Times New Roman" w:hAnsi="Arial" w:cs="Arial"/>
          <w:i/>
          <w:iCs/>
          <w:color w:val="212121"/>
          <w:sz w:val="24"/>
          <w:szCs w:val="24"/>
        </w:rPr>
        <w:t>Article 78</w:t>
      </w:r>
    </w:p>
    <w:p w14:paraId="599F4808" w14:textId="77777777" w:rsidR="00DC73CF" w:rsidRPr="00AF50B4" w:rsidRDefault="00DC73CF" w:rsidP="00AF50B4">
      <w:pPr>
        <w:shd w:val="clear" w:color="auto" w:fill="FEFEFE"/>
        <w:spacing w:beforeAutospacing="1" w:after="0" w:afterAutospacing="1" w:line="240" w:lineRule="auto"/>
        <w:jc w:val="both"/>
        <w:rPr>
          <w:rFonts w:ascii="Arial" w:eastAsia="Times New Roman" w:hAnsi="Arial" w:cs="Arial"/>
          <w:color w:val="212121"/>
          <w:sz w:val="24"/>
          <w:szCs w:val="24"/>
        </w:rPr>
      </w:pPr>
      <w:r w:rsidRPr="00AF50B4">
        <w:rPr>
          <w:rFonts w:ascii="Arial" w:eastAsia="Times New Roman" w:hAnsi="Arial" w:cs="Arial"/>
          <w:b/>
          <w:bCs/>
          <w:color w:val="212121"/>
          <w:sz w:val="24"/>
          <w:szCs w:val="24"/>
        </w:rPr>
        <w:t>Right to an effective judicial remedy against a supervisory authority</w:t>
      </w:r>
    </w:p>
    <w:p w14:paraId="4E9B2FA6"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(1) Without prejudice to any other administrative or non-judicial remedy, each natural or legal person shall have the right to an effective judicial remedy against a legally binding decision of a supervisory authority concerning them.</w:t>
      </w:r>
    </w:p>
    <w:p w14:paraId="327FDDDB"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 xml:space="preserve">(2) Without prejudice to any other administrative or non-judicial remedy, each data subject shall have the right to an effective judicial remedy where the supervisory authority which is competent pursuant to Articles 55 and 56 does not handle a complaint </w:t>
      </w:r>
      <w:r w:rsidRPr="00AF50B4">
        <w:rPr>
          <w:rFonts w:ascii="Arial" w:eastAsia="Times New Roman" w:hAnsi="Arial" w:cs="Arial"/>
          <w:color w:val="212121"/>
          <w:sz w:val="24"/>
          <w:szCs w:val="24"/>
        </w:rPr>
        <w:lastRenderedPageBreak/>
        <w:t>or does not inform the data subject within three months on the progress or outcome of the complaint lodged pursuant to Article 77.</w:t>
      </w:r>
    </w:p>
    <w:p w14:paraId="6E6ED945"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(3) Proceedings against a supervisory authority shall be brought before the courts of the Member State where the supervisory authority is established.</w:t>
      </w:r>
    </w:p>
    <w:p w14:paraId="2D922D8B"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(4) Where proceedings are brought against a decision of a supervisory authority which was preceded by an opinion or a decision of the Board in the consistency mechanism, the supervisory authority shall forward that opinion or decision to the court.</w:t>
      </w:r>
    </w:p>
    <w:p w14:paraId="5BEA028A" w14:textId="77777777" w:rsidR="00DC73CF" w:rsidRPr="00AF50B4" w:rsidRDefault="00DC73CF" w:rsidP="00AF50B4">
      <w:pPr>
        <w:shd w:val="clear" w:color="auto" w:fill="FEFEFE"/>
        <w:spacing w:beforeAutospacing="1" w:after="0" w:afterAutospacing="1" w:line="240" w:lineRule="auto"/>
        <w:jc w:val="both"/>
        <w:rPr>
          <w:rFonts w:ascii="Arial" w:eastAsia="Times New Roman" w:hAnsi="Arial" w:cs="Arial"/>
          <w:color w:val="212121"/>
          <w:sz w:val="24"/>
          <w:szCs w:val="24"/>
        </w:rPr>
      </w:pPr>
      <w:r w:rsidRPr="00AF50B4">
        <w:rPr>
          <w:rFonts w:ascii="Arial" w:eastAsia="Times New Roman" w:hAnsi="Arial" w:cs="Arial"/>
          <w:i/>
          <w:iCs/>
          <w:color w:val="212121"/>
          <w:sz w:val="24"/>
          <w:szCs w:val="24"/>
        </w:rPr>
        <w:t>Article 79</w:t>
      </w:r>
    </w:p>
    <w:p w14:paraId="3B704831" w14:textId="77777777" w:rsidR="00DC73CF" w:rsidRPr="00AF50B4" w:rsidRDefault="00DC73CF" w:rsidP="00AF50B4">
      <w:pPr>
        <w:shd w:val="clear" w:color="auto" w:fill="FEFEFE"/>
        <w:spacing w:beforeAutospacing="1" w:after="0" w:afterAutospacing="1" w:line="240" w:lineRule="auto"/>
        <w:jc w:val="both"/>
        <w:rPr>
          <w:rFonts w:ascii="Arial" w:eastAsia="Times New Roman" w:hAnsi="Arial" w:cs="Arial"/>
          <w:color w:val="212121"/>
          <w:sz w:val="24"/>
          <w:szCs w:val="24"/>
        </w:rPr>
      </w:pPr>
      <w:r w:rsidRPr="00AF50B4">
        <w:rPr>
          <w:rFonts w:ascii="Arial" w:eastAsia="Times New Roman" w:hAnsi="Arial" w:cs="Arial"/>
          <w:b/>
          <w:bCs/>
          <w:color w:val="212121"/>
          <w:sz w:val="24"/>
          <w:szCs w:val="24"/>
        </w:rPr>
        <w:t>Right to an effective judicial remedy against a controller or processor</w:t>
      </w:r>
    </w:p>
    <w:p w14:paraId="5D8E5465"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(1) Without prejudice to any available administrative or non-judicial remedy, including the right to lodge a complaint with a supervisory authority pursuant to Article 77, each data subject shall have the right to an effective judicial remedy where he or she considers that his or her rights under this Regulation have been infringed as a result of the processing of his or her personal data in non-compliance with this Regulation.</w:t>
      </w:r>
    </w:p>
    <w:p w14:paraId="3848834E" w14:textId="77777777" w:rsidR="00DC73CF" w:rsidRPr="00AF50B4" w:rsidRDefault="00DC73CF" w:rsidP="00AF50B4">
      <w:pPr>
        <w:shd w:val="clear" w:color="auto" w:fill="FEFEFE"/>
        <w:spacing w:before="100" w:beforeAutospacing="1" w:after="100" w:afterAutospacing="1" w:line="240" w:lineRule="auto"/>
        <w:jc w:val="both"/>
        <w:rPr>
          <w:rFonts w:ascii="Arial" w:eastAsia="Times New Roman" w:hAnsi="Arial" w:cs="Arial"/>
          <w:color w:val="212121"/>
          <w:sz w:val="24"/>
          <w:szCs w:val="24"/>
        </w:rPr>
      </w:pPr>
      <w:r w:rsidRPr="00AF50B4">
        <w:rPr>
          <w:rFonts w:ascii="Arial" w:eastAsia="Times New Roman" w:hAnsi="Arial" w:cs="Arial"/>
          <w:color w:val="212121"/>
          <w:sz w:val="24"/>
          <w:szCs w:val="24"/>
        </w:rPr>
        <w:t xml:space="preserve">(2) 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w:t>
      </w:r>
      <w:proofErr w:type="gramStart"/>
      <w:r w:rsidRPr="00AF50B4">
        <w:rPr>
          <w:rFonts w:ascii="Arial" w:eastAsia="Times New Roman" w:hAnsi="Arial" w:cs="Arial"/>
          <w:color w:val="212121"/>
          <w:sz w:val="24"/>
          <w:szCs w:val="24"/>
        </w:rPr>
        <w:t>a Member</w:t>
      </w:r>
      <w:proofErr w:type="gramEnd"/>
      <w:r w:rsidRPr="00AF50B4">
        <w:rPr>
          <w:rFonts w:ascii="Arial" w:eastAsia="Times New Roman" w:hAnsi="Arial" w:cs="Arial"/>
          <w:color w:val="212121"/>
          <w:sz w:val="24"/>
          <w:szCs w:val="24"/>
        </w:rPr>
        <w:t xml:space="preserve"> State acting in the exercise of its public powers.</w:t>
      </w:r>
    </w:p>
    <w:p w14:paraId="707D7108" w14:textId="77777777" w:rsidR="0044323B" w:rsidRPr="00AF50B4" w:rsidRDefault="0044323B" w:rsidP="00AF50B4">
      <w:pPr>
        <w:spacing w:line="240" w:lineRule="auto"/>
        <w:rPr>
          <w:rFonts w:ascii="Arial" w:hAnsi="Arial" w:cs="Arial"/>
          <w:sz w:val="24"/>
          <w:szCs w:val="24"/>
        </w:rPr>
      </w:pPr>
      <w:bookmarkStart w:id="0" w:name="_GoBack"/>
      <w:bookmarkEnd w:id="0"/>
    </w:p>
    <w:sectPr w:rsidR="0044323B" w:rsidRPr="00AF50B4" w:rsidSect="00AF50B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04"/>
    <w:rsid w:val="0044323B"/>
    <w:rsid w:val="004F4D7A"/>
    <w:rsid w:val="00654504"/>
    <w:rsid w:val="00AF50B4"/>
    <w:rsid w:val="00DC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taprotection.ro/?page=Plangeri_RGPD&amp;lang=ro" TargetMode="External"/><Relationship Id="rId5" Type="http://schemas.openxmlformats.org/officeDocument/2006/relationships/hyperlink" Target="http://www.dataprotection.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3238</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Cristian Eduard</dc:creator>
  <cp:keywords/>
  <dc:description/>
  <cp:lastModifiedBy>Malita Sergiu</cp:lastModifiedBy>
  <cp:revision>5</cp:revision>
  <dcterms:created xsi:type="dcterms:W3CDTF">2022-08-30T09:23:00Z</dcterms:created>
  <dcterms:modified xsi:type="dcterms:W3CDTF">2022-08-30T09:33:00Z</dcterms:modified>
</cp:coreProperties>
</file>